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763F74" w:rsidRPr="00763F74" w:rsidTr="00763F74">
        <w:tc>
          <w:tcPr>
            <w:tcW w:w="9640" w:type="dxa"/>
            <w:gridSpan w:val="3"/>
            <w:vAlign w:val="center"/>
          </w:tcPr>
          <w:p w:rsidR="00CE1F45" w:rsidRDefault="00763F74" w:rsidP="007D5BB6">
            <w:pPr>
              <w:ind w:right="1" w:firstLine="5840"/>
              <w:jc w:val="right"/>
            </w:pPr>
            <w:r w:rsidRPr="00763F74">
              <w:t>Приложение</w:t>
            </w:r>
            <w:r w:rsidR="00263FBC">
              <w:t xml:space="preserve"> 6</w:t>
            </w:r>
          </w:p>
          <w:p w:rsidR="00763F74" w:rsidRPr="007D5BB6" w:rsidRDefault="00763F74" w:rsidP="00CE1F45">
            <w:pPr>
              <w:ind w:left="0" w:right="0"/>
              <w:jc w:val="both"/>
              <w:rPr>
                <w:sz w:val="4"/>
                <w:szCs w:val="4"/>
              </w:rPr>
            </w:pPr>
          </w:p>
          <w:p w:rsidR="007D5BB6" w:rsidRPr="00763F74" w:rsidRDefault="007D5BB6" w:rsidP="00CE1F45">
            <w:pPr>
              <w:ind w:left="0" w:right="0"/>
              <w:jc w:val="both"/>
            </w:pPr>
          </w:p>
        </w:tc>
      </w:tr>
      <w:tr w:rsidR="004E42F0" w:rsidTr="00096F1E">
        <w:tc>
          <w:tcPr>
            <w:tcW w:w="4253" w:type="dxa"/>
            <w:vAlign w:val="bottom"/>
          </w:tcPr>
          <w:p w:rsidR="003824AF" w:rsidRPr="00992356" w:rsidRDefault="003824AF" w:rsidP="003824AF">
            <w:pPr>
              <w:rPr>
                <w:sz w:val="20"/>
                <w:szCs w:val="20"/>
              </w:rPr>
            </w:pPr>
            <w:r w:rsidRPr="00992356">
              <w:rPr>
                <w:sz w:val="20"/>
                <w:szCs w:val="20"/>
              </w:rPr>
              <w:t>Российская Федерация</w:t>
            </w:r>
          </w:p>
          <w:p w:rsidR="003824AF" w:rsidRDefault="003824AF" w:rsidP="003824AF">
            <w:r w:rsidRPr="00992356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3824AF" w:rsidRDefault="003824AF" w:rsidP="004E42F0">
            <w:pPr>
              <w:ind w:left="-106" w:right="-109"/>
            </w:pPr>
            <w:r w:rsidRPr="003824AF">
              <w:rPr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3824AF" w:rsidRDefault="003824AF" w:rsidP="00C44A7F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Федерация</w:t>
            </w:r>
          </w:p>
          <w:p w:rsidR="003824AF" w:rsidRPr="003824AF" w:rsidRDefault="003824AF" w:rsidP="00C44A7F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 Республика</w:t>
            </w:r>
          </w:p>
        </w:tc>
      </w:tr>
      <w:tr w:rsidR="00C44A7F" w:rsidTr="00096F1E">
        <w:trPr>
          <w:trHeight w:val="1849"/>
        </w:trPr>
        <w:tc>
          <w:tcPr>
            <w:tcW w:w="4253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C44A7F">
            <w:pPr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КОНТРОЛЬНО-СЧЕТНАЯ ПАЛАТА</w:t>
            </w:r>
          </w:p>
          <w:p w:rsidR="003824AF" w:rsidRPr="004E42F0" w:rsidRDefault="003824AF" w:rsidP="00C44A7F">
            <w:pPr>
              <w:spacing w:after="60"/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МУНИЦИПАЛЬНОГО ОКРУГА «УХТА» РЕСПУБЛИКИ КОМИ</w:t>
            </w:r>
          </w:p>
          <w:p w:rsidR="003824AF" w:rsidRPr="004E42F0" w:rsidRDefault="003824AF" w:rsidP="00C44A7F">
            <w:pPr>
              <w:ind w:right="-143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(Контрольно-счетная палата</w:t>
            </w:r>
          </w:p>
          <w:p w:rsidR="003824AF" w:rsidRDefault="003824AF" w:rsidP="00C44A7F">
            <w:pPr>
              <w:spacing w:after="120"/>
              <w:ind w:left="0"/>
            </w:pPr>
            <w:r w:rsidRPr="004E42F0">
              <w:rPr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:rsidR="003824AF" w:rsidRDefault="003824AF" w:rsidP="00C44A7F">
            <w:pPr>
              <w:ind w:left="0"/>
            </w:pPr>
          </w:p>
        </w:tc>
        <w:tc>
          <w:tcPr>
            <w:tcW w:w="4395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C44A7F">
            <w:pPr>
              <w:tabs>
                <w:tab w:val="left" w:pos="883"/>
              </w:tabs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КОМИ РЕСПУБЛИКАСА</w:t>
            </w:r>
          </w:p>
          <w:p w:rsidR="003824AF" w:rsidRPr="004E42F0" w:rsidRDefault="003824AF" w:rsidP="00C44A7F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Pr="004E42F0" w:rsidRDefault="003824AF" w:rsidP="00C44A7F">
            <w:pPr>
              <w:keepNext/>
              <w:spacing w:after="60"/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ВИДЗÖДАН-АРТАЛАН ПАЛАТА</w:t>
            </w:r>
          </w:p>
          <w:p w:rsidR="003824AF" w:rsidRPr="004E42F0" w:rsidRDefault="003824AF" w:rsidP="00C44A7F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(«Ухта»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Default="003824AF" w:rsidP="00C44A7F">
            <w:pPr>
              <w:spacing w:after="120"/>
              <w:ind w:left="-107" w:right="-249" w:hanging="142"/>
            </w:pPr>
            <w:r w:rsidRPr="004E42F0">
              <w:rPr>
                <w:sz w:val="23"/>
                <w:szCs w:val="23"/>
              </w:rPr>
              <w:t>видзöдан-арталан палата)</w:t>
            </w:r>
          </w:p>
        </w:tc>
      </w:tr>
    </w:tbl>
    <w:p w:rsidR="000C21D7" w:rsidRDefault="003824AF">
      <w:pPr>
        <w:rPr>
          <w:sz w:val="20"/>
          <w:szCs w:val="20"/>
        </w:rPr>
      </w:pPr>
      <w:r w:rsidRPr="004E42F0">
        <w:rPr>
          <w:sz w:val="20"/>
          <w:szCs w:val="20"/>
        </w:rPr>
        <w:t>г. Ухта</w:t>
      </w:r>
    </w:p>
    <w:p w:rsidR="00763F74" w:rsidRDefault="00763F74">
      <w:pPr>
        <w:rPr>
          <w:sz w:val="20"/>
          <w:szCs w:val="20"/>
        </w:rPr>
      </w:pPr>
    </w:p>
    <w:p w:rsidR="007D5BB6" w:rsidRPr="00902C02" w:rsidRDefault="007D5BB6" w:rsidP="00902C02">
      <w:pPr>
        <w:ind w:left="0" w:right="-1"/>
        <w:rPr>
          <w:bCs/>
          <w:u w:val="single"/>
        </w:rPr>
      </w:pPr>
      <w:r>
        <w:rPr>
          <w:bCs/>
        </w:rPr>
        <w:t xml:space="preserve">дата </w:t>
      </w:r>
      <w:r w:rsidRPr="00430AF3">
        <w:rPr>
          <w:bCs/>
        </w:rPr>
        <w:t>составления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02C02">
        <w:rPr>
          <w:bCs/>
        </w:rPr>
        <w:tab/>
      </w:r>
      <w:r w:rsidR="00902C02">
        <w:rPr>
          <w:bCs/>
        </w:rPr>
        <w:tab/>
      </w:r>
      <w:r w:rsidR="00902C02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02C02">
        <w:rPr>
          <w:bCs/>
        </w:rPr>
        <w:t xml:space="preserve">№ </w:t>
      </w:r>
      <w:r w:rsidR="00902C02" w:rsidRPr="00902C02">
        <w:rPr>
          <w:bCs/>
          <w:sz w:val="2"/>
          <w:szCs w:val="2"/>
          <w:u w:val="single"/>
        </w:rPr>
        <w:t>…</w:t>
      </w:r>
    </w:p>
    <w:p w:rsidR="005D5DFA" w:rsidRDefault="005D5DFA" w:rsidP="00C1777A">
      <w:pPr>
        <w:ind w:left="0" w:right="-1"/>
        <w:rPr>
          <w:b/>
          <w:bCs/>
        </w:rPr>
      </w:pPr>
    </w:p>
    <w:p w:rsidR="00E370DF" w:rsidRDefault="007D5BB6" w:rsidP="00C1777A">
      <w:pPr>
        <w:ind w:left="0" w:right="-1"/>
        <w:rPr>
          <w:b/>
          <w:bCs/>
        </w:rPr>
      </w:pPr>
      <w:r>
        <w:rPr>
          <w:b/>
          <w:bCs/>
        </w:rPr>
        <w:t>ЗАКЛЮЧЕНИЕ</w:t>
      </w:r>
    </w:p>
    <w:p w:rsidR="00DE0D45" w:rsidRDefault="007D5BB6" w:rsidP="00263FBC">
      <w:pPr>
        <w:ind w:left="0" w:right="-1"/>
      </w:pPr>
      <w:r>
        <w:rPr>
          <w:b/>
          <w:bCs/>
        </w:rPr>
        <w:t xml:space="preserve">по результатам </w:t>
      </w:r>
      <w:bookmarkStart w:id="0" w:name="_Hlk186106100"/>
      <w:r w:rsidR="00263FBC">
        <w:rPr>
          <w:b/>
          <w:bCs/>
        </w:rPr>
        <w:t xml:space="preserve">экспертно-аналитического </w:t>
      </w:r>
      <w:bookmarkEnd w:id="0"/>
      <w:r w:rsidR="00263FBC">
        <w:rPr>
          <w:b/>
          <w:bCs/>
        </w:rPr>
        <w:t>мероприятия</w:t>
      </w:r>
    </w:p>
    <w:p w:rsidR="00763F74" w:rsidRDefault="00DB492D" w:rsidP="00763F74">
      <w:r w:rsidRPr="00DB492D">
        <w:t>(наименование экспертно-аналитического мероприятия)</w:t>
      </w:r>
    </w:p>
    <w:p w:rsidR="00DB492D" w:rsidRDefault="00DB492D" w:rsidP="00763F74"/>
    <w:tbl>
      <w:tblPr>
        <w:tblW w:w="9673" w:type="dxa"/>
        <w:tblInd w:w="108" w:type="dxa"/>
        <w:tblLook w:val="04A0"/>
      </w:tblPr>
      <w:tblGrid>
        <w:gridCol w:w="2019"/>
        <w:gridCol w:w="7654"/>
      </w:tblGrid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</w:rPr>
            </w:pPr>
            <w:r w:rsidRPr="00C1777A">
              <w:rPr>
                <w:b/>
              </w:rPr>
              <w:t>Основание</w:t>
            </w:r>
          </w:p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</w:rPr>
            </w:pPr>
            <w:r w:rsidRPr="00C1777A">
              <w:rPr>
                <w:b/>
              </w:rPr>
              <w:t xml:space="preserve">для </w:t>
            </w:r>
            <w:r w:rsidR="00734B6F">
              <w:rPr>
                <w:b/>
              </w:rPr>
              <w:t>проведения экспертно-аналитического мероприятия</w:t>
            </w:r>
          </w:p>
          <w:p w:rsidR="00C1777A" w:rsidRPr="00C1777A" w:rsidRDefault="00C1777A" w:rsidP="008029BB">
            <w:pPr>
              <w:ind w:left="0" w:right="0"/>
              <w:contextualSpacing/>
              <w:jc w:val="both"/>
            </w:pPr>
          </w:p>
        </w:tc>
        <w:tc>
          <w:tcPr>
            <w:tcW w:w="7654" w:type="dxa"/>
            <w:shd w:val="clear" w:color="auto" w:fill="auto"/>
          </w:tcPr>
          <w:p w:rsidR="00FA70C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FA70CA">
              <w:t xml:space="preserve">статья </w:t>
            </w:r>
            <w:r w:rsidR="00DB492D" w:rsidRPr="00DB492D">
              <w:t>9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C1777A" w:rsidRPr="00C1777A">
              <w:t>стать</w:t>
            </w:r>
            <w:r w:rsidR="00DB492D">
              <w:t>я</w:t>
            </w:r>
            <w:r w:rsidR="00C1777A" w:rsidRPr="00C1777A">
              <w:t xml:space="preserve"> 8 Положения о </w:t>
            </w:r>
            <w:r w:rsidR="00E370DF" w:rsidRPr="00E370DF">
              <w:t xml:space="preserve">Контрольно-счетной палате муниципального </w:t>
            </w:r>
            <w:r w:rsidR="00576E92">
              <w:t>округа</w:t>
            </w:r>
            <w:r w:rsidR="00E370DF" w:rsidRPr="00E370DF">
              <w:t xml:space="preserve"> «Ухта»</w:t>
            </w:r>
            <w:r w:rsidR="00576E92">
              <w:t xml:space="preserve"> Республики Коми</w:t>
            </w:r>
            <w:r w:rsidR="00E370DF" w:rsidRPr="00E370DF">
              <w:t>, утвержденн</w:t>
            </w:r>
            <w:r w:rsidR="00E370DF">
              <w:t>ого</w:t>
            </w:r>
            <w:r w:rsidR="00E370DF" w:rsidRPr="00E370DF">
              <w:t xml:space="preserve"> решением Совета муниципального округа «Ухта» Республики Коми от 21.12.2023 № 268</w:t>
            </w:r>
            <w:r w:rsidR="00C1777A" w:rsidRPr="00C1777A">
              <w:t>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C1777A" w:rsidRPr="00C1777A">
              <w:t xml:space="preserve">пункт </w:t>
            </w:r>
            <w:r w:rsidR="00E370DF">
              <w:t xml:space="preserve">___ </w:t>
            </w:r>
            <w:r w:rsidR="00E370DF" w:rsidRPr="00E370DF">
              <w:t>План</w:t>
            </w:r>
            <w:r w:rsidR="00E370DF">
              <w:t>а</w:t>
            </w:r>
            <w:r w:rsidR="00E370DF" w:rsidRPr="00E370DF">
              <w:t xml:space="preserve"> работы Контрольно-счетной палаты муниципального округа «Ухта» Республики Коми на (год), утвержденн</w:t>
            </w:r>
            <w:r w:rsidR="00E370DF">
              <w:t>ого</w:t>
            </w:r>
            <w:r w:rsidR="00E370DF" w:rsidRPr="00E370DF">
              <w:t xml:space="preserve"> приказом председателя Контрольно-счетн</w:t>
            </w:r>
            <w:r w:rsidR="00E370DF">
              <w:t>ой</w:t>
            </w:r>
            <w:r w:rsidR="00E370DF" w:rsidRPr="00E370DF">
              <w:t xml:space="preserve"> палат</w:t>
            </w:r>
            <w:r w:rsidR="00E370DF">
              <w:t>ы</w:t>
            </w:r>
            <w:r w:rsidR="00E370DF" w:rsidRPr="00E370DF">
              <w:t xml:space="preserve"> муниципального округа «Ухта» Республики Коми от (дата) </w:t>
            </w:r>
            <w:bookmarkStart w:id="1" w:name="_Hlk186100077"/>
            <w:r w:rsidR="00E370DF" w:rsidRPr="00E370DF">
              <w:t>№___</w:t>
            </w:r>
            <w:bookmarkEnd w:id="1"/>
            <w:r w:rsidR="00C1777A" w:rsidRPr="00C1777A">
              <w:t>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C1777A" w:rsidRPr="00C1777A">
              <w:t xml:space="preserve">распоряжение </w:t>
            </w:r>
            <w:r w:rsidR="00E370DF" w:rsidRPr="00E370DF">
              <w:t xml:space="preserve">председателя Контрольно-счетной палаты муниципального округа «Ухта» Республики Коми </w:t>
            </w:r>
            <w:r w:rsidR="005D5DFA" w:rsidRPr="005D5DFA">
              <w:t>от (дата) №</w:t>
            </w:r>
            <w:r w:rsidR="005D5DFA" w:rsidRPr="005D5DFA">
              <w:rPr>
                <w:sz w:val="4"/>
                <w:szCs w:val="4"/>
                <w:u w:val="single"/>
              </w:rPr>
              <w:t>.</w:t>
            </w:r>
            <w:r w:rsidR="005D5DFA" w:rsidRPr="005D5DFA">
              <w:t>;</w:t>
            </w:r>
          </w:p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C1777A" w:rsidRPr="00C1777A">
              <w:t>Стандарт внешнего муниципального финансового контроля (</w:t>
            </w:r>
            <w:r w:rsidR="00E370DF">
              <w:t>наименование, ре</w:t>
            </w:r>
            <w:r w:rsidR="00911F95">
              <w:t>к</w:t>
            </w:r>
            <w:r w:rsidR="00E370DF">
              <w:t>визиты)</w:t>
            </w:r>
            <w:r w:rsidR="00C1777A" w:rsidRPr="00C1777A">
              <w:t>.</w:t>
            </w:r>
          </w:p>
        </w:tc>
      </w:tr>
      <w:tr w:rsidR="00DF2ED9" w:rsidRPr="00DF2ED9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5A44B6">
            <w:pPr>
              <w:widowControl w:val="0"/>
              <w:tabs>
                <w:tab w:val="left" w:pos="1311"/>
              </w:tabs>
              <w:autoSpaceDN w:val="0"/>
              <w:ind w:left="0" w:right="0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6D6DBD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 xml:space="preserve">Предмет </w:t>
            </w:r>
            <w:r w:rsidR="00734B6F">
              <w:rPr>
                <w:b/>
                <w:bCs/>
              </w:rPr>
              <w:t>мероприятия</w:t>
            </w:r>
          </w:p>
        </w:tc>
        <w:tc>
          <w:tcPr>
            <w:tcW w:w="7654" w:type="dxa"/>
            <w:shd w:val="clear" w:color="auto" w:fill="auto"/>
          </w:tcPr>
          <w:p w:rsidR="00C1777A" w:rsidRPr="00C1777A" w:rsidRDefault="005D562E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734B6F" w:rsidRPr="00734B6F">
              <w:t xml:space="preserve">указывается в соответствии с программой </w:t>
            </w:r>
            <w:r w:rsidR="00734B6F">
              <w:t>экспертно-аналитического мероприятия</w:t>
            </w:r>
            <w:r w:rsidR="00734B6F" w:rsidRPr="00734B6F">
              <w:t>.</w:t>
            </w:r>
          </w:p>
        </w:tc>
      </w:tr>
      <w:tr w:rsidR="00DF2ED9" w:rsidRPr="00C1777A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5A44B6">
            <w:pPr>
              <w:widowControl w:val="0"/>
              <w:tabs>
                <w:tab w:val="left" w:pos="1311"/>
              </w:tabs>
              <w:autoSpaceDN w:val="0"/>
              <w:ind w:left="0" w:right="0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6D6DBD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При подготовке заключения использованы данные</w:t>
            </w:r>
          </w:p>
        </w:tc>
        <w:tc>
          <w:tcPr>
            <w:tcW w:w="7654" w:type="dxa"/>
            <w:shd w:val="clear" w:color="auto" w:fill="auto"/>
          </w:tcPr>
          <w:p w:rsidR="00DB492D" w:rsidRPr="00C1777A" w:rsidRDefault="005A44B6" w:rsidP="00DB492D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  <w:r>
              <w:t xml:space="preserve">- </w:t>
            </w:r>
            <w:r w:rsidR="00A837AF">
              <w:t>указываются исследуемые документы и материалы.</w:t>
            </w:r>
            <w:bookmarkStart w:id="2" w:name="_GoBack"/>
            <w:bookmarkEnd w:id="2"/>
          </w:p>
          <w:p w:rsidR="005A44B6" w:rsidRPr="00C1777A" w:rsidRDefault="005A44B6" w:rsidP="005D562E">
            <w:pPr>
              <w:widowControl w:val="0"/>
              <w:tabs>
                <w:tab w:val="left" w:pos="1311"/>
              </w:tabs>
              <w:autoSpaceDN w:val="0"/>
              <w:ind w:left="0" w:right="0" w:firstLine="319"/>
              <w:jc w:val="both"/>
            </w:pPr>
          </w:p>
        </w:tc>
      </w:tr>
      <w:tr w:rsidR="00DF2ED9" w:rsidRPr="00DF2ED9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8029BB">
            <w:pPr>
              <w:ind w:left="0" w:right="0" w:firstLine="181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  <w:sz w:val="28"/>
                <w:szCs w:val="28"/>
              </w:rPr>
            </w:pPr>
            <w:r w:rsidRPr="00C1777A">
              <w:rPr>
                <w:b/>
                <w:bCs/>
              </w:rPr>
              <w:t xml:space="preserve">По результатам </w:t>
            </w:r>
            <w:r w:rsidR="001F4788">
              <w:rPr>
                <w:b/>
                <w:bCs/>
              </w:rPr>
              <w:t>экспертно-аналитического мероприятия</w:t>
            </w:r>
            <w:r w:rsidR="005D562E">
              <w:rPr>
                <w:b/>
                <w:bCs/>
              </w:rPr>
              <w:t xml:space="preserve"> сделаны следующие выводы</w:t>
            </w:r>
          </w:p>
        </w:tc>
        <w:tc>
          <w:tcPr>
            <w:tcW w:w="7654" w:type="dxa"/>
            <w:shd w:val="clear" w:color="auto" w:fill="auto"/>
          </w:tcPr>
          <w:p w:rsidR="00DB492D" w:rsidRDefault="00DB492D" w:rsidP="005D562E">
            <w:pPr>
              <w:ind w:left="0" w:right="0" w:firstLine="319"/>
              <w:jc w:val="both"/>
            </w:pPr>
            <w:r>
              <w:t>Результаты экспертно-аналитического мероприятия</w:t>
            </w:r>
            <w:r w:rsidR="003718E5">
              <w:t xml:space="preserve">                                         и представленные к нему материалы, позволяют отметить следующее:</w:t>
            </w:r>
          </w:p>
          <w:p w:rsidR="00091C14" w:rsidRDefault="00A1059A" w:rsidP="005D562E">
            <w:pPr>
              <w:ind w:left="0" w:right="0" w:firstLine="319"/>
              <w:jc w:val="both"/>
            </w:pPr>
            <w:r>
              <w:t xml:space="preserve">1. </w:t>
            </w:r>
            <w:r w:rsidR="00091C14" w:rsidRPr="00091C14">
              <w:t xml:space="preserve">Приводятся основные выводы по итогам </w:t>
            </w:r>
            <w:r w:rsidR="005D562E">
              <w:t>проведенно</w:t>
            </w:r>
            <w:r w:rsidR="001F4788">
              <w:t>го</w:t>
            </w:r>
            <w:r w:rsidR="003874E3">
              <w:t xml:space="preserve"> </w:t>
            </w:r>
            <w:r w:rsidR="001F4788" w:rsidRPr="001F4788">
              <w:t>экспертно-аналитического мероприятия</w:t>
            </w:r>
            <w:r w:rsidR="001F4788">
              <w:t xml:space="preserve">, в которых в обобщенной форме отражаются итоговые оценки проблем и вопросов, рассмотренных                   в соответствии с </w:t>
            </w:r>
            <w:r w:rsidR="001F4788" w:rsidRPr="001F4788">
              <w:t>программой экспертно-аналитического мероприятия</w:t>
            </w:r>
            <w:r w:rsidR="001F4788">
              <w:t>.</w:t>
            </w:r>
          </w:p>
          <w:p w:rsidR="00091C14" w:rsidRDefault="00E237E8" w:rsidP="005D562E">
            <w:pPr>
              <w:ind w:left="0" w:right="0" w:firstLine="319"/>
              <w:jc w:val="both"/>
            </w:pPr>
            <w:r>
              <w:t>2</w:t>
            </w:r>
            <w:r w:rsidR="00091C14">
              <w:t xml:space="preserve">. </w:t>
            </w:r>
            <w:r w:rsidR="001F4788">
              <w:t>Рекомендации и п</w:t>
            </w:r>
            <w:r w:rsidR="00091C14">
              <w:t xml:space="preserve">редложения по итогам </w:t>
            </w:r>
            <w:r w:rsidR="001F4788" w:rsidRPr="001F4788">
              <w:t>проведенного экспертно-аналитического мероприятия</w:t>
            </w:r>
            <w:r w:rsidR="003874E3">
              <w:t xml:space="preserve"> </w:t>
            </w:r>
            <w:r>
              <w:t>(при наличии)</w:t>
            </w:r>
            <w:r w:rsidR="00091C14">
              <w:t>.</w:t>
            </w:r>
          </w:p>
          <w:p w:rsidR="00091C14" w:rsidRPr="00C1777A" w:rsidRDefault="00091C14" w:rsidP="005D562E">
            <w:pPr>
              <w:ind w:left="0" w:right="0" w:firstLine="319"/>
              <w:jc w:val="both"/>
            </w:pPr>
            <w:r>
              <w:t xml:space="preserve">Формулируются </w:t>
            </w:r>
            <w:r w:rsidR="001F4788">
              <w:t xml:space="preserve">рекомендации и </w:t>
            </w:r>
            <w:r>
              <w:t>предложения</w:t>
            </w:r>
            <w:r w:rsidR="001F4788">
              <w:t xml:space="preserve">, основанные                          на выводах и направленные на решение исследованных проблем                       </w:t>
            </w:r>
            <w:r w:rsidR="001F4788">
              <w:lastRenderedPageBreak/>
              <w:t>и вопросов</w:t>
            </w:r>
            <w:r>
              <w:t>.</w:t>
            </w:r>
          </w:p>
        </w:tc>
      </w:tr>
    </w:tbl>
    <w:p w:rsidR="00C1777A" w:rsidRPr="00C1777A" w:rsidRDefault="00C1777A" w:rsidP="008029BB">
      <w:pPr>
        <w:ind w:left="0" w:right="-1" w:firstLine="709"/>
        <w:jc w:val="both"/>
      </w:pPr>
    </w:p>
    <w:p w:rsidR="00AB65AA" w:rsidRDefault="003718E5" w:rsidP="00B26CC9">
      <w:pPr>
        <w:ind w:left="0" w:right="0" w:firstLine="709"/>
        <w:jc w:val="both"/>
        <w:rPr>
          <w:b/>
          <w:sz w:val="26"/>
          <w:szCs w:val="26"/>
        </w:rPr>
      </w:pPr>
      <w:r>
        <w:t xml:space="preserve">В целом, результаты экспертно-аналитического мероприятия позволяют отметить </w:t>
      </w:r>
      <w:r w:rsidR="00D52386" w:rsidRPr="00D52386">
        <w:t>следующее.</w:t>
      </w:r>
    </w:p>
    <w:p w:rsidR="00B26CC9" w:rsidRPr="00C045AF" w:rsidRDefault="00B26CC9" w:rsidP="00B26CC9">
      <w:pPr>
        <w:ind w:left="0" w:right="0" w:firstLine="709"/>
        <w:jc w:val="both"/>
      </w:pPr>
    </w:p>
    <w:p w:rsidR="00AB65AA" w:rsidRDefault="00AB65AA" w:rsidP="00B26CC9">
      <w:pPr>
        <w:pStyle w:val="ad"/>
        <w:numPr>
          <w:ilvl w:val="0"/>
          <w:numId w:val="3"/>
        </w:numPr>
        <w:ind w:left="0" w:firstLine="0"/>
        <w:outlineLvl w:val="0"/>
        <w:rPr>
          <w:b/>
        </w:rPr>
      </w:pPr>
      <w:r w:rsidRPr="00AB65AA">
        <w:rPr>
          <w:b/>
        </w:rPr>
        <w:t>Общие положения</w:t>
      </w:r>
    </w:p>
    <w:p w:rsidR="00B26CC9" w:rsidRPr="00B26CC9" w:rsidRDefault="00B26CC9" w:rsidP="00B26CC9">
      <w:pPr>
        <w:ind w:left="1135"/>
        <w:outlineLvl w:val="0"/>
        <w:rPr>
          <w:b/>
        </w:rPr>
      </w:pPr>
    </w:p>
    <w:p w:rsidR="00AB65AA" w:rsidRPr="00AB65AA" w:rsidRDefault="00AB65AA" w:rsidP="00B26CC9">
      <w:pPr>
        <w:pStyle w:val="ad"/>
        <w:ind w:left="709"/>
        <w:jc w:val="both"/>
      </w:pPr>
      <w:r w:rsidRPr="00AB65AA">
        <w:t>1.1.</w:t>
      </w:r>
    </w:p>
    <w:p w:rsidR="00AB65AA" w:rsidRPr="00AB65AA" w:rsidRDefault="00AB65AA" w:rsidP="00B26CC9">
      <w:pPr>
        <w:pStyle w:val="ad"/>
        <w:ind w:left="709"/>
        <w:jc w:val="both"/>
      </w:pPr>
      <w:r w:rsidRPr="00AB65AA">
        <w:t>1.2.</w:t>
      </w:r>
    </w:p>
    <w:p w:rsidR="00AB65AA" w:rsidRPr="00AB65AA" w:rsidRDefault="00AB65AA" w:rsidP="00B26CC9">
      <w:pPr>
        <w:pStyle w:val="ad"/>
        <w:autoSpaceDE w:val="0"/>
        <w:autoSpaceDN w:val="0"/>
        <w:adjustRightInd w:val="0"/>
        <w:ind w:left="709"/>
        <w:jc w:val="both"/>
        <w:outlineLvl w:val="0"/>
      </w:pPr>
      <w:r w:rsidRPr="00AB65AA">
        <w:t>1.3.</w:t>
      </w:r>
    </w:p>
    <w:p w:rsidR="00AB65AA" w:rsidRDefault="00AB65AA" w:rsidP="00B26CC9">
      <w:pPr>
        <w:pStyle w:val="ad"/>
        <w:autoSpaceDE w:val="0"/>
        <w:autoSpaceDN w:val="0"/>
        <w:adjustRightInd w:val="0"/>
        <w:ind w:left="709"/>
        <w:jc w:val="both"/>
        <w:outlineLvl w:val="0"/>
      </w:pPr>
      <w:r w:rsidRPr="00AB65AA">
        <w:t>1.4.</w:t>
      </w:r>
    </w:p>
    <w:p w:rsidR="00A837AF" w:rsidRDefault="00A837AF" w:rsidP="00A837AF">
      <w:pPr>
        <w:pStyle w:val="ad"/>
        <w:numPr>
          <w:ilvl w:val="0"/>
          <w:numId w:val="3"/>
        </w:numPr>
        <w:ind w:left="0" w:firstLine="0"/>
        <w:outlineLvl w:val="0"/>
        <w:rPr>
          <w:b/>
        </w:rPr>
      </w:pPr>
      <w:r>
        <w:rPr>
          <w:b/>
        </w:rPr>
        <w:t>…</w:t>
      </w:r>
    </w:p>
    <w:p w:rsidR="00C045AF" w:rsidRDefault="00C045AF" w:rsidP="00B26CC9">
      <w:pPr>
        <w:pStyle w:val="ad"/>
        <w:autoSpaceDE w:val="0"/>
        <w:autoSpaceDN w:val="0"/>
        <w:adjustRightInd w:val="0"/>
        <w:jc w:val="both"/>
        <w:outlineLvl w:val="0"/>
      </w:pPr>
    </w:p>
    <w:p w:rsidR="00822BD9" w:rsidRDefault="00822BD9" w:rsidP="00822BD9">
      <w:pPr>
        <w:ind w:left="0" w:right="0"/>
        <w:jc w:val="both"/>
        <w:rPr>
          <w:rFonts w:eastAsiaTheme="minorEastAsia"/>
        </w:rPr>
      </w:pPr>
    </w:p>
    <w:p w:rsidR="00B26CC9" w:rsidRDefault="00B26CC9" w:rsidP="00822BD9">
      <w:pPr>
        <w:ind w:left="0" w:right="0"/>
        <w:jc w:val="both"/>
        <w:rPr>
          <w:rFonts w:eastAsiaTheme="minorEastAsia"/>
        </w:rPr>
      </w:pPr>
    </w:p>
    <w:p w:rsidR="00822BD9" w:rsidRPr="00822BD9" w:rsidRDefault="00822BD9" w:rsidP="00822BD9">
      <w:pPr>
        <w:ind w:left="0" w:right="0"/>
        <w:jc w:val="both"/>
        <w:rPr>
          <w:rFonts w:eastAsiaTheme="minorEastAsia"/>
        </w:rPr>
      </w:pPr>
      <w:r w:rsidRPr="00822BD9">
        <w:rPr>
          <w:rFonts w:eastAsiaTheme="minorEastAsia"/>
        </w:rPr>
        <w:t xml:space="preserve">Председатель </w:t>
      </w:r>
    </w:p>
    <w:p w:rsidR="00822BD9" w:rsidRPr="00822BD9" w:rsidRDefault="00822BD9" w:rsidP="00822BD9">
      <w:pPr>
        <w:ind w:left="0" w:right="0"/>
        <w:jc w:val="both"/>
        <w:rPr>
          <w:rFonts w:eastAsiaTheme="minorEastAsia"/>
        </w:rPr>
      </w:pPr>
      <w:r w:rsidRPr="00822BD9">
        <w:rPr>
          <w:rFonts w:eastAsiaTheme="minorEastAsia"/>
        </w:rPr>
        <w:t xml:space="preserve">Контрольно-счетной палаты </w:t>
      </w:r>
    </w:p>
    <w:p w:rsidR="00822BD9" w:rsidRPr="00D52386" w:rsidRDefault="00822BD9" w:rsidP="00822BD9">
      <w:pPr>
        <w:ind w:left="0" w:right="0"/>
        <w:jc w:val="both"/>
      </w:pPr>
      <w:r w:rsidRPr="00576E92">
        <w:rPr>
          <w:rFonts w:eastAsiaTheme="minorEastAsia"/>
        </w:rPr>
        <w:t>муниципального округа «Ухта</w:t>
      </w:r>
      <w:r w:rsidRPr="00D52386">
        <w:t xml:space="preserve">»         </w:t>
      </w:r>
      <w:r w:rsidR="00D52386" w:rsidRPr="00D52386">
        <w:t>П</w:t>
      </w:r>
      <w:r w:rsidRPr="00D52386">
        <w:t xml:space="preserve">одпись              </w:t>
      </w:r>
      <w:r w:rsidR="00D52386" w:rsidRPr="00D52386">
        <w:t>Р</w:t>
      </w:r>
      <w:r w:rsidRPr="00D52386">
        <w:t>асшифровка подписи</w:t>
      </w:r>
    </w:p>
    <w:sectPr w:rsidR="00822BD9" w:rsidRPr="00D52386" w:rsidSect="008A1089">
      <w:footerReference w:type="default" r:id="rId8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66F" w:rsidRDefault="003E666F" w:rsidP="00B62C7F">
      <w:r>
        <w:separator/>
      </w:r>
    </w:p>
  </w:endnote>
  <w:endnote w:type="continuationSeparator" w:id="1">
    <w:p w:rsidR="003E666F" w:rsidRDefault="003E666F" w:rsidP="00B62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26" w:rsidRPr="000454DA" w:rsidRDefault="00D40C26" w:rsidP="000454DA">
    <w:pPr>
      <w:pStyle w:val="ab"/>
      <w:ind w:left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66F" w:rsidRDefault="003E666F" w:rsidP="00B62C7F">
      <w:r>
        <w:separator/>
      </w:r>
    </w:p>
  </w:footnote>
  <w:footnote w:type="continuationSeparator" w:id="1">
    <w:p w:rsidR="003E666F" w:rsidRDefault="003E666F" w:rsidP="00B62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828"/>
    <w:multiLevelType w:val="hybridMultilevel"/>
    <w:tmpl w:val="E8E42FAE"/>
    <w:lvl w:ilvl="0" w:tplc="5D5C0E2C">
      <w:start w:val="1"/>
      <w:numFmt w:val="upperRoman"/>
      <w:suff w:val="space"/>
      <w:lvlText w:val="%1."/>
      <w:lvlJc w:val="right"/>
      <w:pPr>
        <w:ind w:left="6173" w:hanging="360"/>
      </w:pPr>
      <w:rPr>
        <w:rFonts w:hint="default"/>
        <w:b/>
        <w:bCs w:val="0"/>
      </w:rPr>
    </w:lvl>
    <w:lvl w:ilvl="1" w:tplc="04190019">
      <w:start w:val="1"/>
      <w:numFmt w:val="lowerLetter"/>
      <w:lvlText w:val="%2."/>
      <w:lvlJc w:val="left"/>
      <w:pPr>
        <w:ind w:left="9379" w:hanging="360"/>
      </w:pPr>
    </w:lvl>
    <w:lvl w:ilvl="2" w:tplc="0419001B">
      <w:start w:val="1"/>
      <w:numFmt w:val="lowerRoman"/>
      <w:lvlText w:val="%3."/>
      <w:lvlJc w:val="right"/>
      <w:pPr>
        <w:ind w:left="10099" w:hanging="180"/>
      </w:pPr>
    </w:lvl>
    <w:lvl w:ilvl="3" w:tplc="0419000F" w:tentative="1">
      <w:start w:val="1"/>
      <w:numFmt w:val="decimal"/>
      <w:lvlText w:val="%4."/>
      <w:lvlJc w:val="left"/>
      <w:pPr>
        <w:ind w:left="10819" w:hanging="360"/>
      </w:pPr>
    </w:lvl>
    <w:lvl w:ilvl="4" w:tplc="04190019" w:tentative="1">
      <w:start w:val="1"/>
      <w:numFmt w:val="lowerLetter"/>
      <w:lvlText w:val="%5."/>
      <w:lvlJc w:val="left"/>
      <w:pPr>
        <w:ind w:left="11539" w:hanging="360"/>
      </w:pPr>
    </w:lvl>
    <w:lvl w:ilvl="5" w:tplc="0419001B" w:tentative="1">
      <w:start w:val="1"/>
      <w:numFmt w:val="lowerRoman"/>
      <w:lvlText w:val="%6."/>
      <w:lvlJc w:val="right"/>
      <w:pPr>
        <w:ind w:left="12259" w:hanging="180"/>
      </w:pPr>
    </w:lvl>
    <w:lvl w:ilvl="6" w:tplc="0419000F" w:tentative="1">
      <w:start w:val="1"/>
      <w:numFmt w:val="decimal"/>
      <w:lvlText w:val="%7."/>
      <w:lvlJc w:val="left"/>
      <w:pPr>
        <w:ind w:left="12979" w:hanging="360"/>
      </w:pPr>
    </w:lvl>
    <w:lvl w:ilvl="7" w:tplc="04190019" w:tentative="1">
      <w:start w:val="1"/>
      <w:numFmt w:val="lowerLetter"/>
      <w:lvlText w:val="%8."/>
      <w:lvlJc w:val="left"/>
      <w:pPr>
        <w:ind w:left="13699" w:hanging="360"/>
      </w:pPr>
    </w:lvl>
    <w:lvl w:ilvl="8" w:tplc="0419001B" w:tentative="1">
      <w:start w:val="1"/>
      <w:numFmt w:val="lowerRoman"/>
      <w:lvlText w:val="%9."/>
      <w:lvlJc w:val="right"/>
      <w:pPr>
        <w:ind w:left="14419" w:hanging="180"/>
      </w:pPr>
    </w:lvl>
  </w:abstractNum>
  <w:abstractNum w:abstractNumId="1">
    <w:nsid w:val="14803781"/>
    <w:multiLevelType w:val="hybridMultilevel"/>
    <w:tmpl w:val="C74C4642"/>
    <w:lvl w:ilvl="0" w:tplc="12DE15AA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40E8"/>
    <w:multiLevelType w:val="hybridMultilevel"/>
    <w:tmpl w:val="8AD0E206"/>
    <w:lvl w:ilvl="0" w:tplc="7EC6E92A">
      <w:start w:val="1"/>
      <w:numFmt w:val="upperRoman"/>
      <w:lvlText w:val="%1."/>
      <w:lvlJc w:val="left"/>
      <w:pPr>
        <w:ind w:left="1752" w:hanging="7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824AF"/>
    <w:rsid w:val="000454DA"/>
    <w:rsid w:val="000570BB"/>
    <w:rsid w:val="00087BFA"/>
    <w:rsid w:val="000910A0"/>
    <w:rsid w:val="00091C14"/>
    <w:rsid w:val="00096F1E"/>
    <w:rsid w:val="000C21D7"/>
    <w:rsid w:val="000D2736"/>
    <w:rsid w:val="00137936"/>
    <w:rsid w:val="001B0904"/>
    <w:rsid w:val="001C1B5F"/>
    <w:rsid w:val="001E11F9"/>
    <w:rsid w:val="001F4788"/>
    <w:rsid w:val="002226C1"/>
    <w:rsid w:val="00263FBC"/>
    <w:rsid w:val="00295C7E"/>
    <w:rsid w:val="00307962"/>
    <w:rsid w:val="00363006"/>
    <w:rsid w:val="003632FA"/>
    <w:rsid w:val="00365513"/>
    <w:rsid w:val="003718E5"/>
    <w:rsid w:val="003824AF"/>
    <w:rsid w:val="003874E3"/>
    <w:rsid w:val="003E666F"/>
    <w:rsid w:val="003E685D"/>
    <w:rsid w:val="003F240E"/>
    <w:rsid w:val="00400F76"/>
    <w:rsid w:val="004148E5"/>
    <w:rsid w:val="00430AF3"/>
    <w:rsid w:val="0044080B"/>
    <w:rsid w:val="004E42F0"/>
    <w:rsid w:val="00576E92"/>
    <w:rsid w:val="005A44B6"/>
    <w:rsid w:val="005A6F3B"/>
    <w:rsid w:val="005D562E"/>
    <w:rsid w:val="005D5DFA"/>
    <w:rsid w:val="006122EA"/>
    <w:rsid w:val="0069310C"/>
    <w:rsid w:val="006D4722"/>
    <w:rsid w:val="006D6DBD"/>
    <w:rsid w:val="006E0BD6"/>
    <w:rsid w:val="006E52AC"/>
    <w:rsid w:val="0070647F"/>
    <w:rsid w:val="007121EA"/>
    <w:rsid w:val="007206DA"/>
    <w:rsid w:val="00734B6F"/>
    <w:rsid w:val="00754BD7"/>
    <w:rsid w:val="00763F74"/>
    <w:rsid w:val="007D5BB6"/>
    <w:rsid w:val="008029BB"/>
    <w:rsid w:val="00822BD9"/>
    <w:rsid w:val="0082614A"/>
    <w:rsid w:val="00826FED"/>
    <w:rsid w:val="008846EC"/>
    <w:rsid w:val="008A1089"/>
    <w:rsid w:val="008A347E"/>
    <w:rsid w:val="008B6D4D"/>
    <w:rsid w:val="00902C02"/>
    <w:rsid w:val="00911F95"/>
    <w:rsid w:val="00951FA7"/>
    <w:rsid w:val="00967A6C"/>
    <w:rsid w:val="00992356"/>
    <w:rsid w:val="009E60F7"/>
    <w:rsid w:val="009F5267"/>
    <w:rsid w:val="00A1059A"/>
    <w:rsid w:val="00A559FC"/>
    <w:rsid w:val="00A76F6D"/>
    <w:rsid w:val="00A837AF"/>
    <w:rsid w:val="00AB65AA"/>
    <w:rsid w:val="00AD438B"/>
    <w:rsid w:val="00B26CC9"/>
    <w:rsid w:val="00B62C7F"/>
    <w:rsid w:val="00B813B6"/>
    <w:rsid w:val="00B81FD0"/>
    <w:rsid w:val="00BB05A7"/>
    <w:rsid w:val="00BC725A"/>
    <w:rsid w:val="00BE5541"/>
    <w:rsid w:val="00C045AF"/>
    <w:rsid w:val="00C10241"/>
    <w:rsid w:val="00C1777A"/>
    <w:rsid w:val="00C2147F"/>
    <w:rsid w:val="00C23337"/>
    <w:rsid w:val="00C44A7F"/>
    <w:rsid w:val="00CB2A2A"/>
    <w:rsid w:val="00CE1F45"/>
    <w:rsid w:val="00D40C26"/>
    <w:rsid w:val="00D52386"/>
    <w:rsid w:val="00DA15FF"/>
    <w:rsid w:val="00DB492D"/>
    <w:rsid w:val="00DC3E52"/>
    <w:rsid w:val="00DE0D45"/>
    <w:rsid w:val="00DF2ED9"/>
    <w:rsid w:val="00E237E8"/>
    <w:rsid w:val="00E27936"/>
    <w:rsid w:val="00E34C5F"/>
    <w:rsid w:val="00E370DF"/>
    <w:rsid w:val="00ED3785"/>
    <w:rsid w:val="00EE452A"/>
    <w:rsid w:val="00F16FB9"/>
    <w:rsid w:val="00F33308"/>
    <w:rsid w:val="00F53EA9"/>
    <w:rsid w:val="00F64AFE"/>
    <w:rsid w:val="00F65F58"/>
    <w:rsid w:val="00FA70CA"/>
    <w:rsid w:val="00FE7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14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62C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2C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62C7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2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текст сноски"/>
    <w:semiHidden/>
    <w:rsid w:val="00B62C7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D40C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4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40C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4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A44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2024-12-25T11:57:00Z</dcterms:created>
  <dcterms:modified xsi:type="dcterms:W3CDTF">2024-12-27T12:19:00Z</dcterms:modified>
</cp:coreProperties>
</file>